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5" w:rsidRDefault="006A4ED5" w:rsidP="006A4ED5">
      <w:pPr>
        <w:jc w:val="both"/>
      </w:pPr>
      <w:r>
        <w:t>Завершение размещения  ценных бумаг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1. Общие сведения</w:t>
      </w:r>
    </w:p>
    <w:p w:rsidR="006A4ED5" w:rsidRDefault="006A4ED5" w:rsidP="006A4ED5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6A4ED5" w:rsidRDefault="006A4ED5" w:rsidP="006A4ED5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6A4ED5" w:rsidRDefault="006A4ED5" w:rsidP="006A4ED5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6A4ED5" w:rsidRDefault="006A4ED5" w:rsidP="006A4ED5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6A4ED5" w:rsidRDefault="006A4ED5" w:rsidP="006A4ED5">
      <w:pPr>
        <w:jc w:val="both"/>
      </w:pPr>
      <w:r>
        <w:t>1.5. Уникальный код эмитента, присвоенный Банком России: 28594-N</w:t>
      </w:r>
    </w:p>
    <w:p w:rsidR="006A4ED5" w:rsidRDefault="006A4ED5" w:rsidP="006A4ED5">
      <w:pPr>
        <w:jc w:val="both"/>
      </w:pPr>
      <w:r>
        <w:t>1.6. Адрес страницы в сети "Интернет", используемой эмитентом для раскрытия информации: https:</w:t>
      </w:r>
      <w:bookmarkStart w:id="0" w:name="_GoBack"/>
      <w:bookmarkEnd w:id="0"/>
      <w:r>
        <w:t>//www.e-disclosure.ru/portal/company.aspx?id=38815</w:t>
      </w:r>
    </w:p>
    <w:p w:rsidR="006A4ED5" w:rsidRDefault="006A4ED5" w:rsidP="006A4ED5">
      <w:pPr>
        <w:jc w:val="both"/>
      </w:pPr>
      <w:r>
        <w:t>1.7. Дата наступления события (существенного факта), о котором составлено сообщение: 27.06.2023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 Содержание сообщения</w:t>
      </w:r>
    </w:p>
    <w:p w:rsidR="006A4ED5" w:rsidRDefault="006A4ED5" w:rsidP="006A4ED5">
      <w:pPr>
        <w:jc w:val="both"/>
      </w:pPr>
      <w:r>
        <w:t>2.1. Идентификационные признаки ценных бумаг:</w:t>
      </w:r>
    </w:p>
    <w:p w:rsidR="006A4ED5" w:rsidRDefault="006A4ED5" w:rsidP="006A4ED5">
      <w:pPr>
        <w:jc w:val="both"/>
      </w:pPr>
      <w:r>
        <w:t>биржевые облигации бездокументарные процентные неконвертируемые с централизованным учетом прав серии БО-01, регистрационный номер выпуска 4B02-01-28594-N от 08.06.2023, международный код (номер) идентификации ценных бумаг (ISIN) RU000A106F08, международный код классификации финансовых инструментов (CFI) DBFUFB (далее – Биржевые облигации).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</w:r>
    </w:p>
    <w:p w:rsidR="006A4ED5" w:rsidRDefault="006A4ED5" w:rsidP="006A4ED5">
      <w:pPr>
        <w:jc w:val="both"/>
      </w:pPr>
      <w:r>
        <w:t xml:space="preserve">Биржевые облигации погашаются в 1 092-й (Одна тысяча девяносто второй) день </w:t>
      </w:r>
      <w:proofErr w:type="gramStart"/>
      <w:r>
        <w:t>с даты начала</w:t>
      </w:r>
      <w:proofErr w:type="gramEnd"/>
      <w:r>
        <w:t xml:space="preserve"> размещения Биржевых облигаций. Даты начала и окончания погашения Биржевых облигаций совпадают.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2.3. Лицо, осуществившее регистрацию выпуска (дополнительного выпуска) ценных бумаг (Банк России, регистрирующая организация):</w:t>
      </w:r>
    </w:p>
    <w:p w:rsidR="006A4ED5" w:rsidRDefault="006A4ED5" w:rsidP="006A4ED5">
      <w:pPr>
        <w:jc w:val="both"/>
      </w:pPr>
      <w:r>
        <w:t>Публичное акционерное общество «Московская Биржа ММВБ-РТС».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2.4. Номинальная стоимость (для акций и облигаций) каждой ценной бумаги:</w:t>
      </w:r>
    </w:p>
    <w:p w:rsidR="006A4ED5" w:rsidRDefault="006A4ED5" w:rsidP="006A4ED5">
      <w:pPr>
        <w:jc w:val="both"/>
      </w:pPr>
      <w:r>
        <w:t>1 000 (Одна тысяча) российских рублей.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2.5. Способ размещения ценных бумаг:</w:t>
      </w:r>
    </w:p>
    <w:p w:rsidR="006A4ED5" w:rsidRDefault="006A4ED5" w:rsidP="006A4ED5">
      <w:pPr>
        <w:jc w:val="both"/>
      </w:pPr>
      <w:r>
        <w:t xml:space="preserve">Открытая подписка. 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2.6. Дата фактического начала размещения ценных бумаг (дата совершения первой сделки, направленной на отчуждение ценных бумаг первому владельцу):</w:t>
      </w:r>
    </w:p>
    <w:p w:rsidR="006A4ED5" w:rsidRDefault="006A4ED5" w:rsidP="006A4ED5">
      <w:pPr>
        <w:jc w:val="both"/>
      </w:pPr>
      <w:r>
        <w:t>27.06.2023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2.7. 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бумаг):</w:t>
      </w:r>
    </w:p>
    <w:p w:rsidR="006A4ED5" w:rsidRDefault="006A4ED5" w:rsidP="006A4ED5">
      <w:pPr>
        <w:jc w:val="both"/>
      </w:pPr>
      <w:r>
        <w:t>27.06.2023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2.8. Количество фактически размещенных ценных бумаг:</w:t>
      </w:r>
    </w:p>
    <w:p w:rsidR="006A4ED5" w:rsidRDefault="006A4ED5" w:rsidP="006A4ED5">
      <w:pPr>
        <w:jc w:val="both"/>
      </w:pPr>
      <w:r>
        <w:t xml:space="preserve">500 000 (Пятьсот тысяч) штук. 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2.9. Доля фактически размещенных ценных бумаг от общего количества ценных бумаг выпуска (дополнительного выпуска), подлежавших размещению: 100%.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2.10. Фактическая цена (цены) размещения ценных бумаг и количество ценных бумаг, размещенных по каждой из цен размещения:</w:t>
      </w:r>
    </w:p>
    <w:p w:rsidR="006A4ED5" w:rsidRDefault="006A4ED5" w:rsidP="006A4ED5">
      <w:pPr>
        <w:jc w:val="both"/>
      </w:pPr>
      <w:r>
        <w:t>По цене 1 000 (Одна тысяча) российских рублей за 1 (Одну) Биржевую облигацию, что соответствует 100% от номинальной стоимости Биржевых облигаций, размещено 500 000 (Пятьсот тысяч) штук.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2.11. Форма оплаты размещенных ценных бумаг, а если размещенные ценные бумаги оплачивались денежными средствами и иным имуществом (</w:t>
      </w:r>
      <w:proofErr w:type="spellStart"/>
      <w:r>
        <w:t>неденежными</w:t>
      </w:r>
      <w:proofErr w:type="spellEnd"/>
      <w:r>
        <w:t xml:space="preserve">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</w:r>
      <w:proofErr w:type="spellStart"/>
      <w:r>
        <w:t>неденежными</w:t>
      </w:r>
      <w:proofErr w:type="spellEnd"/>
      <w:r>
        <w:t xml:space="preserve"> средствами):</w:t>
      </w:r>
    </w:p>
    <w:p w:rsidR="006A4ED5" w:rsidRDefault="006A4ED5" w:rsidP="006A4ED5">
      <w:pPr>
        <w:jc w:val="both"/>
      </w:pPr>
      <w:r>
        <w:lastRenderedPageBreak/>
        <w:t>Биржевые облигации оплачены денежными средствами в российских рублях в безналичном порядке. Количество Биржевых облигаций, оплаченных денежными средствами, – 500 000 (Пятьсот тысяч) штук.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  <w:r>
        <w:t>3. Подпись</w:t>
      </w:r>
    </w:p>
    <w:p w:rsidR="006A4ED5" w:rsidRDefault="006A4ED5" w:rsidP="006A4ED5">
      <w:pPr>
        <w:jc w:val="both"/>
      </w:pPr>
      <w:r>
        <w:t>3.1. заместитель генерального директора (Доверенность №21-160 от 22.12.2021)</w:t>
      </w:r>
    </w:p>
    <w:p w:rsidR="006A4ED5" w:rsidRDefault="006A4ED5" w:rsidP="006A4ED5">
      <w:pPr>
        <w:jc w:val="both"/>
      </w:pPr>
      <w:r>
        <w:t>Щербинина Ярослава Викторовна</w:t>
      </w:r>
    </w:p>
    <w:p w:rsidR="006A4ED5" w:rsidRDefault="006A4ED5" w:rsidP="006A4ED5">
      <w:pPr>
        <w:jc w:val="both"/>
      </w:pPr>
    </w:p>
    <w:p w:rsidR="006A4ED5" w:rsidRDefault="006A4ED5" w:rsidP="006A4ED5">
      <w:pPr>
        <w:jc w:val="both"/>
      </w:pPr>
    </w:p>
    <w:p w:rsidR="00E42256" w:rsidRDefault="006A4ED5" w:rsidP="006A4ED5">
      <w:pPr>
        <w:jc w:val="both"/>
      </w:pPr>
      <w:r>
        <w:t>3.2. Дата 27.06.2023г.</w:t>
      </w:r>
    </w:p>
    <w:sectPr w:rsidR="00E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D5"/>
    <w:rsid w:val="006A4ED5"/>
    <w:rsid w:val="00E4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2023-06-27T13:20:00Z</dcterms:created>
  <dcterms:modified xsi:type="dcterms:W3CDTF">2023-06-27T13:21:00Z</dcterms:modified>
</cp:coreProperties>
</file>